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21" w:rsidRPr="00307A12" w:rsidRDefault="005916C5" w:rsidP="008301C8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PLAGIARISM PROCEDURE</w:t>
      </w:r>
    </w:p>
    <w:p w:rsidR="00BD29C5" w:rsidRDefault="00BD29C5" w:rsidP="008301C8">
      <w:pPr>
        <w:rPr>
          <w:rFonts w:ascii="Century Gothic" w:hAnsi="Century Gothic"/>
          <w:b/>
        </w:rPr>
      </w:pPr>
    </w:p>
    <w:p w:rsidR="00464584" w:rsidRDefault="005916C5" w:rsidP="008301C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POLICY STATEMENT</w:t>
      </w:r>
    </w:p>
    <w:p w:rsidR="005916C5" w:rsidRDefault="005916C5" w:rsidP="008301C8">
      <w:pPr>
        <w:rPr>
          <w:rFonts w:ascii="Century Gothic" w:hAnsi="Century Gothic"/>
        </w:rPr>
      </w:pPr>
      <w:r>
        <w:rPr>
          <w:rFonts w:ascii="Century Gothic" w:hAnsi="Century Gothic"/>
        </w:rPr>
        <w:t>Cheating and / or plagiarism in any form will not be tolerated.</w:t>
      </w:r>
    </w:p>
    <w:p w:rsidR="005916C5" w:rsidRDefault="005916C5" w:rsidP="005916C5">
      <w:pPr>
        <w:rPr>
          <w:rFonts w:ascii="Century Gothic" w:hAnsi="Century Gothic"/>
          <w:b/>
        </w:rPr>
      </w:pPr>
    </w:p>
    <w:p w:rsidR="005916C5" w:rsidRPr="005916C5" w:rsidRDefault="005916C5" w:rsidP="008301C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PROCEDURE</w:t>
      </w:r>
    </w:p>
    <w:p w:rsidR="00223806" w:rsidRDefault="005916C5" w:rsidP="00BD29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an act of cheating or plagiarism is observed or reported to th</w:t>
      </w:r>
      <w:r w:rsidR="00223806">
        <w:rPr>
          <w:rFonts w:ascii="Century Gothic" w:hAnsi="Century Gothic"/>
        </w:rPr>
        <w:t>e Trainer or Master Builders SA staff member, the trainer or staff member must act in accordance with the discipline policy and procedure and in agreement with the below penalties:</w:t>
      </w:r>
    </w:p>
    <w:p w:rsidR="00223806" w:rsidRDefault="00223806" w:rsidP="00BD29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PENALTIES FOR PLAGARISM</w:t>
      </w:r>
    </w:p>
    <w:p w:rsidR="00223806" w:rsidRDefault="00223806" w:rsidP="00BD29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determination that plagiarism has taken place, the penalty which will be imposed on the participant(s) is one or more of the following depending on the nature of the incident:</w:t>
      </w:r>
    </w:p>
    <w:p w:rsidR="00223806" w:rsidRDefault="00223806" w:rsidP="00223806">
      <w:pPr>
        <w:jc w:val="both"/>
        <w:rPr>
          <w:rFonts w:ascii="Century Gothic" w:hAnsi="Century Gothic"/>
        </w:rPr>
      </w:pPr>
      <w:r w:rsidRPr="00223806">
        <w:rPr>
          <w:rFonts w:ascii="Century Gothic" w:hAnsi="Century Gothic"/>
        </w:rPr>
        <w:t>An assessment outcome of ‘Not Yet Competent’ is given for the course in which assessment misconduct occurred. This will result in:</w:t>
      </w:r>
    </w:p>
    <w:p w:rsidR="00223806" w:rsidRDefault="00223806" w:rsidP="00223806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participant being required to attend a Moderation Meeting to determine the level of knowledge the participant has reached (a $130 fee applies).</w:t>
      </w:r>
    </w:p>
    <w:p w:rsidR="00223806" w:rsidRDefault="00223806" w:rsidP="0022380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And counselled for:</w:t>
      </w:r>
    </w:p>
    <w:p w:rsidR="00223806" w:rsidRDefault="000265A3" w:rsidP="0022380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MINOR BREACH – the participant resits the assessment by submitting answers to a different but similar assessment (a fee for developing the new assessment will apply). Fees apply ($70 per hour for redeveloping the assessment – charges will be disclosed to the student prior to redevelopment work being undertaken).</w:t>
      </w:r>
    </w:p>
    <w:p w:rsidR="000265A3" w:rsidRDefault="000265A3" w:rsidP="0022380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SERIOUS BREACH – the participant is asked to re-enrol in the course and is charged in full, CITB ineligible fee relevant to the specific course.</w:t>
      </w:r>
    </w:p>
    <w:p w:rsidR="000265A3" w:rsidRPr="00223806" w:rsidRDefault="000265A3" w:rsidP="0022380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REPEAT OCCURANCE – exclusion from enrolment at Master Builders Association of SA in the related course for a specified period at the discretion of the </w:t>
      </w:r>
      <w:r w:rsidR="005E7039">
        <w:rPr>
          <w:rFonts w:ascii="Century Gothic" w:hAnsi="Century Gothic"/>
        </w:rPr>
        <w:t xml:space="preserve">Chief Operating Officer </w:t>
      </w:r>
      <w:r>
        <w:rPr>
          <w:rFonts w:ascii="Century Gothic" w:hAnsi="Century Gothic"/>
        </w:rPr>
        <w:t>or delegate based on consideration of the participant’s case.</w:t>
      </w:r>
    </w:p>
    <w:sectPr w:rsidR="000265A3" w:rsidRPr="00223806" w:rsidSect="00412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89" w:rsidRDefault="00412089" w:rsidP="00412089">
      <w:pPr>
        <w:spacing w:after="0" w:line="240" w:lineRule="auto"/>
      </w:pPr>
      <w:r>
        <w:separator/>
      </w:r>
    </w:p>
  </w:endnote>
  <w:endnote w:type="continuationSeparator" w:id="0">
    <w:p w:rsidR="00412089" w:rsidRDefault="00412089" w:rsidP="004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EC" w:rsidRDefault="00972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12089" w:rsidRPr="00307A12" w:rsidRDefault="00412089" w:rsidP="00412089">
    <w:pPr>
      <w:pStyle w:val="Footer"/>
      <w:jc w:val="center"/>
      <w:rPr>
        <w:rFonts w:ascii="Century Gothic" w:hAnsi="Century Gothic"/>
        <w:sz w:val="18"/>
      </w:rPr>
    </w:pPr>
    <w:r w:rsidRPr="00307A12">
      <w:rPr>
        <w:rFonts w:ascii="Century Gothic" w:hAnsi="Century Gothic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8C202" wp14:editId="52A7A031">
              <wp:simplePos x="0" y="0"/>
              <wp:positionH relativeFrom="margin">
                <wp:posOffset>-152400</wp:posOffset>
              </wp:positionH>
              <wp:positionV relativeFrom="paragraph">
                <wp:posOffset>-92075</wp:posOffset>
              </wp:positionV>
              <wp:extent cx="587692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1D4818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pt,-7.25pt" to="450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WR1gEAAA0EAAAOAAAAZHJzL2Uyb0RvYy54bWysU02P0zAQvSPxHyzfadJKXUr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" strokecolor="black [3213]" strokeweight="1.25pt">
              <v:stroke joinstyle="miter"/>
              <w10:wrap anchorx="margin"/>
            </v:line>
          </w:pict>
        </mc:Fallback>
      </mc:AlternateContent>
    </w:r>
    <w:r w:rsidR="009721EC">
      <w:rPr>
        <w:rFonts w:ascii="Century Gothic" w:hAnsi="Century Gothic"/>
        <w:sz w:val="18"/>
      </w:rPr>
      <w:t>Plagiarism_Procedure_</w:t>
    </w:r>
    <w:r w:rsidR="005E7039">
      <w:rPr>
        <w:rFonts w:ascii="Century Gothic" w:hAnsi="Century Gothic"/>
        <w:sz w:val="18"/>
      </w:rPr>
      <w:t>08022021</w:t>
    </w:r>
    <w:r w:rsidR="009721EC">
      <w:rPr>
        <w:rFonts w:ascii="Century Gothic" w:hAnsi="Century Gothic"/>
        <w:sz w:val="18"/>
      </w:rPr>
      <w:t>_V</w:t>
    </w:r>
    <w:r w:rsidR="005E7039">
      <w:rPr>
        <w:rFonts w:ascii="Century Gothic" w:hAnsi="Century Gothic"/>
        <w:sz w:val="18"/>
      </w:rPr>
      <w:t>2.0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EC" w:rsidRDefault="0097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89" w:rsidRDefault="00412089" w:rsidP="00412089">
      <w:pPr>
        <w:spacing w:after="0" w:line="240" w:lineRule="auto"/>
      </w:pPr>
      <w:r>
        <w:separator/>
      </w:r>
    </w:p>
  </w:footnote>
  <w:footnote w:type="continuationSeparator" w:id="0">
    <w:p w:rsidR="00412089" w:rsidRDefault="00412089" w:rsidP="0041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EC" w:rsidRDefault="00972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89" w:rsidRPr="00307A12" w:rsidRDefault="00412089">
    <w:pPr>
      <w:pStyle w:val="Header"/>
      <w:rPr>
        <w:rFonts w:ascii="Century Gothic" w:hAnsi="Century Gothic"/>
        <w:sz w:val="18"/>
      </w:rPr>
    </w:pPr>
    <w:r w:rsidRPr="00307A12">
      <w:rPr>
        <w:rFonts w:ascii="Century Gothic" w:hAnsi="Century Gothic"/>
        <w:noProof/>
        <w:sz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469265" cy="504825"/>
          <wp:effectExtent l="0" t="0" r="698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A SA 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7A12">
      <w:rPr>
        <w:rFonts w:ascii="Century Gothic" w:hAnsi="Century Gothic"/>
        <w:sz w:val="18"/>
      </w:rPr>
      <w:t>Master Builders SA</w:t>
    </w:r>
  </w:p>
  <w:p w:rsidR="00412089" w:rsidRPr="00307A12" w:rsidRDefault="00412089" w:rsidP="00412089">
    <w:pPr>
      <w:pStyle w:val="Header"/>
      <w:rPr>
        <w:rFonts w:ascii="Century Gothic" w:hAnsi="Century Gothic"/>
        <w:sz w:val="18"/>
      </w:rPr>
    </w:pPr>
    <w:r w:rsidRPr="00307A12">
      <w:rPr>
        <w:rFonts w:ascii="Century Gothic" w:hAnsi="Century Gothic"/>
        <w:sz w:val="18"/>
      </w:rPr>
      <w:t>47 South Terrace, ADELAIDE SA 5000</w:t>
    </w:r>
    <w:r w:rsidRPr="00307A12">
      <w:rPr>
        <w:rFonts w:ascii="Century Gothic" w:hAnsi="Century Gothic"/>
        <w:sz w:val="18"/>
      </w:rPr>
      <w:tab/>
    </w:r>
    <w:r w:rsidRPr="00307A12">
      <w:rPr>
        <w:rFonts w:ascii="Century Gothic" w:hAnsi="Century Gothic"/>
        <w:sz w:val="18"/>
      </w:rPr>
      <w:tab/>
      <w:t>Policies and Procedures</w:t>
    </w:r>
  </w:p>
  <w:p w:rsidR="00412089" w:rsidRPr="00307A12" w:rsidRDefault="00412089">
    <w:pPr>
      <w:pStyle w:val="Header"/>
      <w:rPr>
        <w:rFonts w:ascii="Century Gothic" w:hAnsi="Century Gothic"/>
        <w:sz w:val="18"/>
      </w:rPr>
    </w:pPr>
    <w:r w:rsidRPr="00307A12">
      <w:rPr>
        <w:rFonts w:ascii="Century Gothic" w:hAnsi="Century Gothic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269875</wp:posOffset>
              </wp:positionV>
              <wp:extent cx="58769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8D5FE60" id="Straight Connector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25pt" to="462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g11gEAAA0EAAAOAAAAZHJzL2Uyb0RvYy54bWysU02P0zAQvSPxHyzfadJK3S5R0z10tVwQ&#10;VCz8AK8zbiz5S2PTpP+esdOmK0BC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" strokecolor="black [3213]" strokeweight="1.25pt">
              <v:stroke joinstyle="miter"/>
              <w10:wrap anchorx="margin"/>
            </v:line>
          </w:pict>
        </mc:Fallback>
      </mc:AlternateContent>
    </w:r>
    <w:r w:rsidRPr="00307A12">
      <w:rPr>
        <w:rFonts w:ascii="Century Gothic" w:hAnsi="Century Gothic"/>
        <w:sz w:val="18"/>
      </w:rPr>
      <w:t>(08) 8211 7466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EC" w:rsidRDefault="00972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9A2"/>
    <w:multiLevelType w:val="hybridMultilevel"/>
    <w:tmpl w:val="04EC0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0513"/>
    <w:multiLevelType w:val="hybridMultilevel"/>
    <w:tmpl w:val="9CB08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216F"/>
    <w:multiLevelType w:val="hybridMultilevel"/>
    <w:tmpl w:val="CB6EB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CD5"/>
    <w:multiLevelType w:val="hybridMultilevel"/>
    <w:tmpl w:val="E8FCB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4827"/>
    <w:multiLevelType w:val="hybridMultilevel"/>
    <w:tmpl w:val="93DC0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2B2"/>
    <w:multiLevelType w:val="hybridMultilevel"/>
    <w:tmpl w:val="1A06D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1D90"/>
    <w:multiLevelType w:val="hybridMultilevel"/>
    <w:tmpl w:val="A4FAB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1490"/>
    <w:multiLevelType w:val="hybridMultilevel"/>
    <w:tmpl w:val="A8F4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F293F"/>
    <w:multiLevelType w:val="hybridMultilevel"/>
    <w:tmpl w:val="3AF8C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5D2E"/>
    <w:multiLevelType w:val="hybridMultilevel"/>
    <w:tmpl w:val="03E60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89"/>
    <w:rsid w:val="000265A3"/>
    <w:rsid w:val="001B0D00"/>
    <w:rsid w:val="00223806"/>
    <w:rsid w:val="00307A12"/>
    <w:rsid w:val="00412089"/>
    <w:rsid w:val="004456AA"/>
    <w:rsid w:val="00464584"/>
    <w:rsid w:val="005916C5"/>
    <w:rsid w:val="005E7039"/>
    <w:rsid w:val="0064504C"/>
    <w:rsid w:val="00703592"/>
    <w:rsid w:val="007132D2"/>
    <w:rsid w:val="008301C8"/>
    <w:rsid w:val="009721EC"/>
    <w:rsid w:val="00BD29C5"/>
    <w:rsid w:val="00C23EC5"/>
    <w:rsid w:val="00D22BED"/>
    <w:rsid w:val="00DC27CF"/>
    <w:rsid w:val="00DE6321"/>
    <w:rsid w:val="00E24E58"/>
    <w:rsid w:val="00E8324F"/>
    <w:rsid w:val="00E97F2B"/>
    <w:rsid w:val="00F24C87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9206A"/>
  <w15:chartTrackingRefBased/>
  <w15:docId w15:val="{89E12B43-5860-42D3-A436-56FFC12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89"/>
  </w:style>
  <w:style w:type="paragraph" w:styleId="Footer">
    <w:name w:val="footer"/>
    <w:basedOn w:val="Normal"/>
    <w:link w:val="FooterChar"/>
    <w:uiPriority w:val="99"/>
    <w:unhideWhenUsed/>
    <w:rsid w:val="0041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89"/>
  </w:style>
  <w:style w:type="paragraph" w:styleId="ListParagraph">
    <w:name w:val="List Paragraph"/>
    <w:basedOn w:val="Normal"/>
    <w:uiPriority w:val="34"/>
    <w:qFormat/>
    <w:rsid w:val="00464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Lee-Ann Attick</cp:lastModifiedBy>
  <cp:revision>2</cp:revision>
  <dcterms:created xsi:type="dcterms:W3CDTF">2021-02-08T01:31:00Z</dcterms:created>
  <dcterms:modified xsi:type="dcterms:W3CDTF">2021-02-08T01:31:00Z</dcterms:modified>
</cp:coreProperties>
</file>